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3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Veien til arbeid i et nytt land</w:t>
            </w:r>
          </w:p>
        </w:tc>
        <w:tc>
          <w:tcPr/>
          <w:p w:rsidR="00000000" w:rsidDel="00000000" w:rsidP="00000000" w:rsidRDefault="00000000" w:rsidRPr="00000000" w14:paraId="00000007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finne informasjon og samtale om ulike utdanninger og yrker basert på egne interesser og muligheter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Geometri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gjøre beregninger med vinkler og vinkelsummer i todimensjonale figurer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Energi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samtale om hva energi er, beskrive og sammenligne fornybare og ikke fornybare energikilder og gi eksempler på ulike energikjeder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Utdanning og arbeidsliv</w:t>
            </w:r>
          </w:p>
        </w:tc>
        <w:tc>
          <w:tcPr/>
          <w:p w:rsidR="00000000" w:rsidDel="00000000" w:rsidP="00000000" w:rsidRDefault="00000000" w:rsidRPr="00000000" w14:paraId="00000017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presentere sentrale aktører og gi eksempler på lover og regler som regulerer arbeidslivet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-utforske relevante utdanningstilbud og lokalt arbeidsliv og reflektere over egne muligheter for videre opplæring, utdanning og karriere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Geogebra og Kikora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en melding.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12/01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13/01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14/01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15/01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16/01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 8.4 Medarbeidersamtale og kap 8.5 Er du fagorganisert?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Energikjeder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Grip 3 Naturfag</w:t>
            </w:r>
            <w:r w:rsidDel="00000000" w:rsidR="00000000" w:rsidRPr="00000000">
              <w:rPr>
                <w:highlight w:val="green"/>
                <w:rtl w:val="0"/>
              </w:rPr>
              <w:t xml:space="preserve">, s. 280-282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Arbeidsliv og utdanning.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Jobbe med presentasjon.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Geometri - Omkrets av sammensatte planfigurer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Presentasjon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Geometri - Vinkelsum i planfigurer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Grip 3 Matematikk,</w:t>
            </w:r>
            <w:r w:rsidDel="00000000" w:rsidR="00000000" w:rsidRPr="00000000">
              <w:rPr>
                <w:rtl w:val="0"/>
              </w:rPr>
              <w:t xml:space="preserve"> s. 252-254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Arbeidsliv og utdanning.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Jobbe med presentasjon.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Arbeidsliv og utdanning.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Jobbe med presentasjon.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Fornybare og ikke-fornybare energikilder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IKT - Matematikk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Geogebra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1579.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Arbeidsliv og utdanning.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Jobbe med presentasjon. 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God helg!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s. 248-259 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Matematikk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gjør oppgavene på s. 255, 256, 257 og 259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Tenk over hvilket yrke du er interessert i for fremtiden. Du skal lage en presentasjon neste uke.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s. 280-281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Naturfag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heftet du fikk på skolen tirsdag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